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275B20" w14:paraId="58C79B7D" w14:textId="77777777" w:rsidTr="00F05C99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94D6279" w14:textId="77777777" w:rsidR="00275B20" w:rsidRDefault="00275B20" w:rsidP="00F05C99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275B20" w14:paraId="00E65813" w14:textId="77777777" w:rsidTr="00F05C99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4FAF3" w14:textId="77777777" w:rsidR="00275B20" w:rsidRDefault="00275B20" w:rsidP="00F05C99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C35BC" w14:textId="77777777" w:rsidR="00275B20" w:rsidRDefault="00275B20" w:rsidP="00F05C99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275B20" w14:paraId="15131398" w14:textId="77777777" w:rsidTr="00F05C99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D7E29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DB9A6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7D09C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1C8AD4D1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73547E2F" w14:textId="77777777" w:rsidTr="00F05C99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E37481" w14:textId="77777777" w:rsidR="00275B20" w:rsidRDefault="00275B20" w:rsidP="00F05C99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0BF93AE1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0BDE982F" w14:textId="77777777" w:rsidTr="00F05C99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9D6FA" w14:textId="77777777" w:rsidR="00275B20" w:rsidRDefault="00275B20" w:rsidP="00F05C99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8D8B6" w14:textId="77777777" w:rsidR="00275B20" w:rsidRDefault="00275B20" w:rsidP="00F05C99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275B20" w14:paraId="28C2376A" w14:textId="77777777" w:rsidTr="00F05C99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10349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7FAE8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18BFE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53476E6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5253F87F" w14:textId="77777777" w:rsidTr="00F05C99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49987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012967A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4239646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6448A7A3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0EFA37D0" w14:textId="77777777" w:rsidTr="00F05C99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109A2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5D8B8276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4C18D763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700BC7BB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07154767" w14:textId="77777777" w:rsidTr="00F05C99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BE92D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D292F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1AEA4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522596C1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006EA7E1" w14:textId="77777777" w:rsidTr="00F05C99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660F35D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65126C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75B20">
              <w:rPr>
                <w:sz w:val="16"/>
                <w:szCs w:val="16"/>
              </w:rPr>
              <w:t>Miklošková</w:t>
            </w:r>
            <w:proofErr w:type="spellEnd"/>
          </w:p>
        </w:tc>
        <w:tc>
          <w:tcPr>
            <w:tcW w:w="160" w:type="dxa"/>
            <w:vAlign w:val="center"/>
          </w:tcPr>
          <w:p w14:paraId="208098B2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61FEE7C3" w14:textId="77777777" w:rsidTr="00F05C99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02B1398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9B722D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275B20">
              <w:rPr>
                <w:sz w:val="16"/>
                <w:szCs w:val="16"/>
              </w:rPr>
              <w:t>Monika</w:t>
            </w:r>
          </w:p>
        </w:tc>
        <w:tc>
          <w:tcPr>
            <w:tcW w:w="160" w:type="dxa"/>
            <w:vAlign w:val="center"/>
          </w:tcPr>
          <w:p w14:paraId="09782A64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2D50DE6F" w14:textId="77777777" w:rsidTr="00F05C99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B0E0ED7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C1045" w14:textId="77777777" w:rsidR="00275B20" w:rsidRPr="007E1DDE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75B20">
              <w:rPr>
                <w:sz w:val="16"/>
                <w:szCs w:val="16"/>
              </w:rPr>
              <w:t xml:space="preserve">doc. PhDr., PhD. </w:t>
            </w:r>
          </w:p>
        </w:tc>
        <w:tc>
          <w:tcPr>
            <w:tcW w:w="160" w:type="dxa"/>
            <w:vAlign w:val="center"/>
          </w:tcPr>
          <w:p w14:paraId="27E8E974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6D645E11" w14:textId="77777777" w:rsidTr="00F05C99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721341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5970AA" w14:textId="77777777" w:rsidR="00275B20" w:rsidRPr="00564F3D" w:rsidRDefault="00275B20" w:rsidP="00F05C9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C7B10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https://www.portalvs.sk/regzam/detail/23197?mode=full</w:t>
            </w:r>
          </w:p>
        </w:tc>
        <w:tc>
          <w:tcPr>
            <w:tcW w:w="160" w:type="dxa"/>
            <w:vAlign w:val="center"/>
          </w:tcPr>
          <w:p w14:paraId="2B44119C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0BA88528" w14:textId="77777777" w:rsidTr="00F05C99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E79AE8F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2A6B81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75B20"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</w:rPr>
              <w:t>Sociálna</w:t>
            </w:r>
            <w:proofErr w:type="spellEnd"/>
            <w:r w:rsidRPr="00275B20"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</w:rPr>
              <w:t xml:space="preserve"> </w:t>
            </w:r>
            <w:proofErr w:type="spellStart"/>
            <w:r w:rsidRPr="00275B20"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</w:rPr>
              <w:t>práca</w:t>
            </w:r>
            <w:proofErr w:type="spellEnd"/>
            <w:r w:rsidRPr="00275B20"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</w:rPr>
              <w:t>/</w:t>
            </w:r>
            <w:proofErr w:type="spellStart"/>
            <w:r w:rsidRPr="00275B20"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</w:rPr>
              <w:t>Social</w:t>
            </w:r>
            <w:proofErr w:type="spellEnd"/>
            <w:r w:rsidRPr="00275B20"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</w:rPr>
              <w:t xml:space="preserve"> </w:t>
            </w:r>
            <w:proofErr w:type="spellStart"/>
            <w:r w:rsidRPr="00275B20"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3F6B1F9C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4D584B49" w14:textId="77777777" w:rsidTr="00F05C99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090F12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>
                <w:rPr>
                  <w:rFonts w:ascii="Calibri" w:hAnsi="Calibri" w:cs="Calibri"/>
                  <w:sz w:val="16"/>
                  <w:szCs w:val="16"/>
                </w:rPr>
                <w:br/>
              </w:r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940095" w14:textId="77777777" w:rsidR="00275B20" w:rsidRPr="00233BF3" w:rsidRDefault="00275B20" w:rsidP="00F05C99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19E6FBD8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2176CB31" w14:textId="77777777" w:rsidTr="00F05C99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F4D03BD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9549CB" w14:textId="3CF70659" w:rsidR="00275B20" w:rsidRPr="00420578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2020</w:t>
            </w:r>
          </w:p>
        </w:tc>
        <w:tc>
          <w:tcPr>
            <w:tcW w:w="160" w:type="dxa"/>
            <w:vAlign w:val="center"/>
          </w:tcPr>
          <w:p w14:paraId="723CCC4E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10D9FCED" w14:textId="77777777" w:rsidTr="00F05C99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55DDE35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227510" w14:textId="5583E4F5" w:rsidR="00275B20" w:rsidRPr="00275B20" w:rsidRDefault="00275B20" w:rsidP="00F05C9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75B20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ID: 228247</w:t>
            </w:r>
          </w:p>
        </w:tc>
        <w:tc>
          <w:tcPr>
            <w:tcW w:w="160" w:type="dxa"/>
            <w:vAlign w:val="center"/>
          </w:tcPr>
          <w:p w14:paraId="0DF1D08A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1CD75BC7" w14:textId="77777777" w:rsidTr="00F05C99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5C8CBD2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FE1D9" w14:textId="0B85992A" w:rsidR="00275B20" w:rsidRPr="00E31F09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history="1">
              <w:r w:rsidRPr="005512ED">
                <w:rPr>
                  <w:rStyle w:val="Hypertextovprepojenie"/>
                  <w:rFonts w:ascii="Calibri" w:hAnsi="Calibri" w:cs="Calibri"/>
                  <w:sz w:val="16"/>
                  <w:szCs w:val="16"/>
                </w:rPr>
                <w:t>https://app.crepc.sk/?fn=detailBiblioFormChildG12INM&amp;sid=AF76E74BF3CFEA1C409F851A00&amp;seo=CREP%C4%8C-detail-%C4%8Cl%C3%A1nok</w:t>
              </w:r>
            </w:hyperlink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4C82244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3E47F7C0" w14:textId="77777777" w:rsidTr="00F05C99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CE8A94D" w14:textId="77777777" w:rsidR="00275B20" w:rsidRDefault="00275B20" w:rsidP="00F05C9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4B3B7CD" w14:textId="77777777" w:rsidR="00275B20" w:rsidRDefault="00275B20" w:rsidP="00F05C99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0D9F2298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FEE302" w14:textId="55545960" w:rsidR="00275B20" w:rsidRPr="00E31F09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95789A2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0893BC3D" w14:textId="77777777" w:rsidTr="00F05C99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849CE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7534417E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21F844" w14:textId="77777777" w:rsidR="00275B20" w:rsidRPr="00772AD9" w:rsidRDefault="00275B20" w:rsidP="00275B20">
            <w:pPr>
              <w:rPr>
                <w:sz w:val="16"/>
                <w:szCs w:val="16"/>
              </w:rPr>
            </w:pPr>
            <w:proofErr w:type="spellStart"/>
            <w:r w:rsidRPr="00772AD9">
              <w:rPr>
                <w:rStyle w:val="Vrazn"/>
                <w:rFonts w:cstheme="minorHAnsi"/>
                <w:sz w:val="16"/>
                <w:szCs w:val="16"/>
              </w:rPr>
              <w:t>Out</w:t>
            </w:r>
            <w:proofErr w:type="spellEnd"/>
            <w:r w:rsidRPr="00772AD9">
              <w:rPr>
                <w:rStyle w:val="Vrazn"/>
                <w:rFonts w:cstheme="minorHAnsi"/>
                <w:sz w:val="16"/>
                <w:szCs w:val="16"/>
              </w:rPr>
              <w:t xml:space="preserve"> of Home </w:t>
            </w:r>
            <w:proofErr w:type="spellStart"/>
            <w:r w:rsidRPr="00772AD9">
              <w:rPr>
                <w:rStyle w:val="Vrazn"/>
                <w:rFonts w:cstheme="minorHAnsi"/>
                <w:sz w:val="16"/>
                <w:szCs w:val="16"/>
              </w:rPr>
              <w:t>Placed</w:t>
            </w:r>
            <w:proofErr w:type="spellEnd"/>
            <w:r w:rsidRPr="00772AD9">
              <w:rPr>
                <w:rStyle w:val="Vraz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72AD9">
              <w:rPr>
                <w:rStyle w:val="Vrazn"/>
                <w:rFonts w:cstheme="minorHAnsi"/>
                <w:sz w:val="16"/>
                <w:szCs w:val="16"/>
              </w:rPr>
              <w:t>Children</w:t>
            </w:r>
            <w:proofErr w:type="spellEnd"/>
            <w:r w:rsidRPr="00772AD9">
              <w:rPr>
                <w:rStyle w:val="Vrazn"/>
                <w:rFonts w:cstheme="minorHAnsi"/>
                <w:sz w:val="16"/>
                <w:szCs w:val="16"/>
              </w:rPr>
              <w:t xml:space="preserve"> in Slovakia</w:t>
            </w:r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Miklošková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20%] ;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20%] ;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Herák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Ján [Autor, 20%] ; Bezáková, Emília [Autor, 20%] ;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Dávideková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Mária [Autor, 20%]. – WOS CC</w:t>
            </w:r>
            <w:r w:rsidRPr="00772AD9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772AD9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72AD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772AD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72AD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772AD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72AD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772AD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772AD9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772AD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11, č. 1 (2020), s. 64-68</w:t>
            </w:r>
          </w:p>
          <w:p w14:paraId="3A1710B8" w14:textId="1FF59457" w:rsidR="00275B20" w:rsidRPr="00271EC9" w:rsidRDefault="00275B20" w:rsidP="00F05C99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21E92741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76A47928" w14:textId="77777777" w:rsidTr="00F05C99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9188C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401F8907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D8A70A" w14:textId="2883FF49" w:rsidR="00275B20" w:rsidRPr="00714638" w:rsidRDefault="00275B20" w:rsidP="00F05C99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 (AD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článok v zahraničnom časopise evidovanom v 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datanbáze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Web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Science</w:t>
            </w:r>
            <w:proofErr w:type="spellEnd"/>
          </w:p>
        </w:tc>
        <w:tc>
          <w:tcPr>
            <w:tcW w:w="160" w:type="dxa"/>
            <w:vAlign w:val="center"/>
          </w:tcPr>
          <w:p w14:paraId="568CE7C6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54A4ED4F" w14:textId="77777777" w:rsidTr="00F05C99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8F8C2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FBDC75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452DE6" w14:textId="1ECC960E" w:rsidR="00275B20" w:rsidRPr="00616CCE" w:rsidRDefault="00C539EF" w:rsidP="00F05C9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hyperlink r:id="rId14" w:history="1">
              <w:r w:rsidRPr="005512ED">
                <w:rPr>
                  <w:rStyle w:val="Hypertextovprepojenie"/>
                  <w:rFonts w:ascii="Calibri" w:hAnsi="Calibri" w:cs="Calibri"/>
                  <w:sz w:val="18"/>
                  <w:szCs w:val="18"/>
                </w:rPr>
                <w:t>https://clinicalsocialwork.eu/wp-content/uploads/2020/01/12-mikloskova-1.pdf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BFEAFA3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3C4946EC" w14:textId="77777777" w:rsidTr="00F05C99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30DB85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B6265C5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6F1FB" w14:textId="57EEA361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20%</w:t>
            </w:r>
          </w:p>
        </w:tc>
        <w:tc>
          <w:tcPr>
            <w:tcW w:w="160" w:type="dxa"/>
            <w:vAlign w:val="center"/>
          </w:tcPr>
          <w:p w14:paraId="4EDE2BF5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459593FA" w14:textId="77777777" w:rsidTr="00F05C99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29B4E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A7CFBCB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15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968E2F" w14:textId="348C3849" w:rsidR="00275B20" w:rsidRPr="00C91871" w:rsidRDefault="00C91871" w:rsidP="00F05C99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Jednu z najsmutnejších čŕt 20. a 21. storočia charakterizuje názov „Storočie opustených detí, storočie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detí </w:t>
            </w:r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žijúcich rodičov “. Slovensko ako postkomunistická krajina mení systém starostlivosti z internátnych ústavov na dnešné centrá pre dieťa a rodinu. K výskumu vývoja situácie detí v ohrození na Slovensku v rokoch 2006 – 2016 sme vypracovali hĺbkovú analýzu situácie detí v ústavnej starostlivosti na Slovensku. Výsledky tohto výskumu poskytli hlboký pohľad na problematiku detí ohrozených separáciou. od svojich rodín na základe sociálno-ekonomických ťažkostí v rodine a nedostatočne vybudovaného sociálneho systému nedostatočne reflektujúceho alarmujúcu situáciu ohrozených rodín u nás..</w:t>
            </w:r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One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saddest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features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20th and 21st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centuries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characterized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by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title “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century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abandoned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children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century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living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parents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orphan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children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“. Slovakia as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postcommunist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country has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been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changing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its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boarding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institutions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today‘s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centers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child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family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We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worked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out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deep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analysis</w:t>
            </w:r>
            <w:proofErr w:type="spellEnd"/>
            <w:r w:rsidRPr="00C91871">
              <w:rPr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sz w:val="16"/>
                <w:szCs w:val="16"/>
              </w:rPr>
              <w:t>the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situation</w:t>
            </w:r>
            <w:proofErr w:type="spellEnd"/>
            <w:r w:rsidRPr="00C91871">
              <w:rPr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sz w:val="16"/>
                <w:szCs w:val="16"/>
              </w:rPr>
              <w:t>children</w:t>
            </w:r>
            <w:proofErr w:type="spellEnd"/>
            <w:r w:rsidRPr="00C91871">
              <w:rPr>
                <w:sz w:val="16"/>
                <w:szCs w:val="16"/>
              </w:rPr>
              <w:t xml:space="preserve"> in </w:t>
            </w:r>
            <w:proofErr w:type="spellStart"/>
            <w:r w:rsidRPr="00C91871">
              <w:rPr>
                <w:sz w:val="16"/>
                <w:szCs w:val="16"/>
              </w:rPr>
              <w:t>institutional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care</w:t>
            </w:r>
            <w:proofErr w:type="spellEnd"/>
            <w:r w:rsidRPr="00C91871">
              <w:rPr>
                <w:sz w:val="16"/>
                <w:szCs w:val="16"/>
              </w:rPr>
              <w:t xml:space="preserve"> in Slovakia to </w:t>
            </w:r>
            <w:proofErr w:type="spellStart"/>
            <w:r w:rsidRPr="00C91871">
              <w:rPr>
                <w:sz w:val="16"/>
                <w:szCs w:val="16"/>
              </w:rPr>
              <w:t>research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development</w:t>
            </w:r>
            <w:proofErr w:type="spellEnd"/>
            <w:r w:rsidRPr="00C91871">
              <w:rPr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sz w:val="16"/>
                <w:szCs w:val="16"/>
              </w:rPr>
              <w:t>the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situation</w:t>
            </w:r>
            <w:proofErr w:type="spellEnd"/>
            <w:r w:rsidRPr="00C91871">
              <w:rPr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sz w:val="16"/>
                <w:szCs w:val="16"/>
              </w:rPr>
              <w:t>children</w:t>
            </w:r>
            <w:proofErr w:type="spellEnd"/>
            <w:r w:rsidRPr="00C91871">
              <w:rPr>
                <w:sz w:val="16"/>
                <w:szCs w:val="16"/>
              </w:rPr>
              <w:t xml:space="preserve"> at risk in Slovakia in 2006 – 2016. </w:t>
            </w:r>
            <w:proofErr w:type="spellStart"/>
            <w:r w:rsidRPr="00C91871">
              <w:rPr>
                <w:sz w:val="16"/>
                <w:szCs w:val="16"/>
              </w:rPr>
              <w:t>Outcome</w:t>
            </w:r>
            <w:proofErr w:type="spellEnd"/>
            <w:r w:rsidRPr="00C91871">
              <w:rPr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sz w:val="16"/>
                <w:szCs w:val="16"/>
              </w:rPr>
              <w:t>this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research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provided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deep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insight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into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the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issue</w:t>
            </w:r>
            <w:proofErr w:type="spellEnd"/>
            <w:r w:rsidRPr="00C91871">
              <w:rPr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sz w:val="16"/>
                <w:szCs w:val="16"/>
              </w:rPr>
              <w:t>children</w:t>
            </w:r>
            <w:proofErr w:type="spellEnd"/>
            <w:r w:rsidRPr="00C91871">
              <w:rPr>
                <w:sz w:val="16"/>
                <w:szCs w:val="16"/>
              </w:rPr>
              <w:t xml:space="preserve"> at risk </w:t>
            </w:r>
            <w:proofErr w:type="spellStart"/>
            <w:r w:rsidRPr="00C91871">
              <w:rPr>
                <w:sz w:val="16"/>
                <w:szCs w:val="16"/>
              </w:rPr>
              <w:t>due</w:t>
            </w:r>
            <w:proofErr w:type="spellEnd"/>
            <w:r w:rsidRPr="00C91871">
              <w:rPr>
                <w:sz w:val="16"/>
                <w:szCs w:val="16"/>
              </w:rPr>
              <w:t xml:space="preserve"> to </w:t>
            </w:r>
            <w:proofErr w:type="spellStart"/>
            <w:r w:rsidRPr="00C91871">
              <w:rPr>
                <w:sz w:val="16"/>
                <w:szCs w:val="16"/>
              </w:rPr>
              <w:t>the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separation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from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their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families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based</w:t>
            </w:r>
            <w:proofErr w:type="spellEnd"/>
            <w:r w:rsidRPr="00C91871">
              <w:rPr>
                <w:sz w:val="16"/>
                <w:szCs w:val="16"/>
              </w:rPr>
              <w:t xml:space="preserve"> on </w:t>
            </w:r>
            <w:proofErr w:type="spellStart"/>
            <w:r w:rsidRPr="00C91871">
              <w:rPr>
                <w:sz w:val="16"/>
                <w:szCs w:val="16"/>
              </w:rPr>
              <w:t>socio-economic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difficulties</w:t>
            </w:r>
            <w:proofErr w:type="spellEnd"/>
            <w:r w:rsidRPr="00C91871">
              <w:rPr>
                <w:sz w:val="16"/>
                <w:szCs w:val="16"/>
              </w:rPr>
              <w:t xml:space="preserve"> in </w:t>
            </w:r>
            <w:proofErr w:type="spellStart"/>
            <w:r w:rsidRPr="00C91871">
              <w:rPr>
                <w:sz w:val="16"/>
                <w:szCs w:val="16"/>
              </w:rPr>
              <w:t>the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family</w:t>
            </w:r>
            <w:proofErr w:type="spellEnd"/>
            <w:r w:rsidRPr="00C91871">
              <w:rPr>
                <w:sz w:val="16"/>
                <w:szCs w:val="16"/>
              </w:rPr>
              <w:t xml:space="preserve"> and </w:t>
            </w:r>
            <w:proofErr w:type="spellStart"/>
            <w:r w:rsidRPr="00C91871">
              <w:rPr>
                <w:sz w:val="16"/>
                <w:szCs w:val="16"/>
              </w:rPr>
              <w:t>an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inadequately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established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social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system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insufficiently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reflecting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the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alarming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situation</w:t>
            </w:r>
            <w:proofErr w:type="spellEnd"/>
            <w:r w:rsidRPr="00C91871">
              <w:rPr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sz w:val="16"/>
                <w:szCs w:val="16"/>
              </w:rPr>
              <w:t>the</w:t>
            </w:r>
            <w:proofErr w:type="spellEnd"/>
            <w:r w:rsidRPr="00C91871">
              <w:rPr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sz w:val="16"/>
                <w:szCs w:val="16"/>
              </w:rPr>
              <w:t>families</w:t>
            </w:r>
            <w:proofErr w:type="spellEnd"/>
            <w:r w:rsidRPr="00C91871">
              <w:rPr>
                <w:sz w:val="16"/>
                <w:szCs w:val="16"/>
              </w:rPr>
              <w:t xml:space="preserve"> at risk in </w:t>
            </w:r>
            <w:proofErr w:type="spellStart"/>
            <w:r w:rsidRPr="00C91871">
              <w:rPr>
                <w:sz w:val="16"/>
                <w:szCs w:val="16"/>
              </w:rPr>
              <w:t>our</w:t>
            </w:r>
            <w:proofErr w:type="spellEnd"/>
            <w:r w:rsidRPr="00C91871">
              <w:rPr>
                <w:sz w:val="16"/>
                <w:szCs w:val="16"/>
              </w:rPr>
              <w:t xml:space="preserve"> country. I</w:t>
            </w:r>
          </w:p>
        </w:tc>
        <w:tc>
          <w:tcPr>
            <w:tcW w:w="160" w:type="dxa"/>
            <w:vAlign w:val="center"/>
          </w:tcPr>
          <w:p w14:paraId="0ED968C9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57575847" w14:textId="77777777" w:rsidTr="00F05C99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65AB710" w14:textId="77777777" w:rsidR="00275B20" w:rsidRDefault="00275B20" w:rsidP="00F05C99">
            <w:pPr>
              <w:rPr>
                <w:rFonts w:ascii="Calibri" w:hAnsi="Calibri" w:cs="Calibri"/>
                <w:sz w:val="16"/>
                <w:szCs w:val="16"/>
              </w:rPr>
            </w:pPr>
            <w:hyperlink r:id="rId16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DA11A" w14:textId="7576CEF9" w:rsidR="00275B20" w:rsidRPr="000F534B" w:rsidRDefault="00C91871" w:rsidP="00F05C9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One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saddest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features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20th and 21st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centuries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characterized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by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title “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century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abandoned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children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century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living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parents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orphan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children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“.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Based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on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UNICEF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estimates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, 5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years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ago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these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children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amounted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to 150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million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according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latest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report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their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number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inestimable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primary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reason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situation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worldwide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pandemic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family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disintegration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. Slovakia as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postcommunist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country has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been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changing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its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boarding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institutions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today‘s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centers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child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family</w:t>
            </w:r>
            <w:proofErr w:type="spellEnd"/>
            <w:r w:rsidRPr="00C91871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3E8A3671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3B10FDE3" w14:textId="77777777" w:rsidTr="00F05C99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E283B8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E40136" w14:textId="77777777" w:rsidR="00275B20" w:rsidRDefault="00275B20" w:rsidP="00F05C99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4E0F4683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6D53CF3C" w14:textId="77777777" w:rsidTr="00F05C99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5E8AF54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9AF665" w14:textId="5B035A3E" w:rsidR="00275B20" w:rsidRPr="009C7963" w:rsidRDefault="00C91871" w:rsidP="00F05C99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Publikované poznatky majú význam pre štátnu správu, samosprávu, zamestnávateľov v sociálnej práci, organizácie poskytujúce sociálne služby, pracoviská praxe, </w:t>
            </w:r>
            <w:proofErr w:type="spellStart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profesné</w:t>
            </w:r>
            <w:proofErr w:type="spellEnd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organizácie, vzdelávacie inštitúcie, mimovládne organizácie pôsobiace v oblasti sociálnych služieb, pre absolventov sociálnej práce, partnerov nášho VŠ  pracoviska</w:t>
            </w:r>
            <w:r w:rsidR="0043050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ktorí pôsobia v oblasti sociálnej kurately.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 dnešnej situácii riešenie sirôt žijúcich rodičov nespočíva v umiestňovaní v detských domovoch, ale hlavne v sanácii ich rodín. Pokiaľ pôvodná rodina sa nedokáže o dieťa postarať, umiestňuje sa k iným blízkym príbuzným. </w:t>
            </w:r>
            <w:r w:rsidR="0043050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Ď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alším riešením je náhradná alebo adoptívna rodina. Každé dieťa podľa možnosti vyrastá v rodine, nie v ústave. Rodina zabezpečuje jeho čo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najoptimálnejší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fyzický, psychický a intelektuálny rozvoj a predchádza frustráciám spojeným s ústavnou výchovou. </w:t>
            </w:r>
            <w:r w:rsidR="0043050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Published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knowledge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state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administration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local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government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employers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non-governmental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operating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graduates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partners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areas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guardianship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today's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situation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solution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living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parents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placement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children's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mainly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rehabilitation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families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If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original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cannot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take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placed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other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close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relatives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Another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solution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surrogate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adoptive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Whenever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possible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every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grows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up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a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ensures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optimal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physical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psychological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intellectual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prevents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frustrations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associated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institutional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</w:t>
            </w:r>
            <w:proofErr w:type="spellEnd"/>
            <w:r w:rsidR="00430506" w:rsidRPr="004305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5EB421B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  <w:tr w:rsidR="00275B20" w14:paraId="3B37DB4D" w14:textId="77777777" w:rsidTr="00F05C99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342314D" w14:textId="77777777" w:rsidR="00275B20" w:rsidRDefault="00275B20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6A1E3A" w14:textId="39AF375C" w:rsidR="00275B20" w:rsidRDefault="00430506" w:rsidP="00F05C9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P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ublikácia pracuje s poznatkami, využiteľnými na viacerých  predmetoch študijného programu sociálna práca, ako sú </w:t>
            </w:r>
            <w:r w:rsidRPr="007D5BF4">
              <w:rPr>
                <w:rFonts w:cstheme="minorHAnsi"/>
                <w:color w:val="000000"/>
                <w:sz w:val="16"/>
                <w:szCs w:val="16"/>
              </w:rPr>
              <w:t xml:space="preserve"> teória sociálnej práce, základy sociálnej práce, metódy sociálnej práce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sociálna práca v neziskovom sektore, supervízia v sociálnej práci, sociálne poradenstvo, sociálna prevencia, sociálna práca a sociálna kuratela, sociálna práca s osobami so sociálno-ekonomickými problémami.  </w:t>
            </w:r>
            <w:r>
              <w:rPr>
                <w:rFonts w:cstheme="minorHAnsi"/>
                <w:color w:val="000000"/>
                <w:sz w:val="16"/>
                <w:szCs w:val="16"/>
              </w:rPr>
              <w:t>Študentom ponúka niektoré praktické poznatky využiteľné pri práci s deťmi a rodinami, ktoré jednak napomáhajú sanácii rodín, alebo v prípade náhradnej výchovy popísané mechanizmy dokážu zabezpečiť mnohostrannú podporu náhradným rodinám, aby sa predišlo tomu, aby deti z d</w:t>
            </w:r>
            <w:r w:rsidR="00C539EF">
              <w:rPr>
                <w:rFonts w:cstheme="minorHAnsi"/>
                <w:color w:val="000000"/>
                <w:sz w:val="16"/>
                <w:szCs w:val="16"/>
              </w:rPr>
              <w:t>y</w:t>
            </w:r>
            <w:r>
              <w:rPr>
                <w:rFonts w:cstheme="minorHAnsi"/>
                <w:color w:val="000000"/>
                <w:sz w:val="16"/>
                <w:szCs w:val="16"/>
              </w:rPr>
              <w:t>s</w:t>
            </w:r>
            <w:r w:rsidR="00C539EF">
              <w:rPr>
                <w:rFonts w:cstheme="minorHAnsi"/>
                <w:color w:val="000000"/>
                <w:sz w:val="16"/>
                <w:szCs w:val="16"/>
              </w:rPr>
              <w:t>f</w:t>
            </w:r>
            <w:r>
              <w:rPr>
                <w:rFonts w:cstheme="minorHAnsi"/>
                <w:color w:val="000000"/>
                <w:sz w:val="16"/>
                <w:szCs w:val="16"/>
              </w:rPr>
              <w:t>unkčných rodín vyrastali  v ústavnej výchove</w:t>
            </w:r>
            <w:r w:rsidR="00C539EF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ktorá nedokáže zaručiť ich optimálny mnohostranný rozvoj a výchovu. </w:t>
            </w:r>
            <w:r w:rsidR="00C539EF">
              <w:rPr>
                <w:rFonts w:cstheme="minorHAnsi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knowledge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that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can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be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used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several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subjects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study program,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such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theory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basics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methods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non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-profit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sector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supervision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counseling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prevention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tutoring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persons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socio-economic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problems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It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offers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students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some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practical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knowledge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that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can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be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used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when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working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which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one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hand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helps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rehabilitate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or in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case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substitute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education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described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mechanisms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can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ensure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multifaceted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support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for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substitute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order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prevent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from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dysfunctional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from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growing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up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institutional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education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which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cannot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guarantee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optimal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multifaceted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development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upbringing</w:t>
            </w:r>
            <w:proofErr w:type="spellEnd"/>
            <w:r w:rsidR="00C539EF" w:rsidRPr="00C539EF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B168D4F" w14:textId="77777777" w:rsidR="00275B20" w:rsidRDefault="00275B20" w:rsidP="00F05C99">
            <w:pPr>
              <w:rPr>
                <w:sz w:val="20"/>
                <w:szCs w:val="20"/>
              </w:rPr>
            </w:pPr>
          </w:p>
        </w:tc>
      </w:tr>
    </w:tbl>
    <w:p w14:paraId="68E4FD60" w14:textId="77777777" w:rsidR="00275B20" w:rsidRDefault="00275B20" w:rsidP="00275B20"/>
    <w:p w14:paraId="33D93500" w14:textId="77777777" w:rsidR="00275B20" w:rsidRDefault="00275B20" w:rsidP="00275B20"/>
    <w:p w14:paraId="11403FD5" w14:textId="77777777" w:rsidR="00131F27" w:rsidRDefault="00131F27"/>
    <w:sectPr w:rsidR="00131F27" w:rsidSect="00275B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20"/>
    <w:rsid w:val="00131F27"/>
    <w:rsid w:val="00275B20"/>
    <w:rsid w:val="00430506"/>
    <w:rsid w:val="00C539EF"/>
    <w:rsid w:val="00C91871"/>
    <w:rsid w:val="00E1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65D0C"/>
  <w15:chartTrackingRefBased/>
  <w15:docId w15:val="{B033909A-0AA0-45D8-B36E-E7D47933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5B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275B2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75B20"/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275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kern w:val="0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275B20"/>
    <w:rPr>
      <w:rFonts w:ascii="SimSun" w:eastAsia="SimSun" w:hAnsi="SimSun" w:cs="Times New Roman"/>
      <w:kern w:val="0"/>
      <w:sz w:val="24"/>
      <w:szCs w:val="24"/>
      <w:lang w:val="en-US" w:eastAsia="zh-CN"/>
    </w:rPr>
  </w:style>
  <w:style w:type="paragraph" w:customStyle="1" w:styleId="Normlny1">
    <w:name w:val="Normálny1"/>
    <w:qFormat/>
    <w:rsid w:val="00275B20"/>
    <w:pPr>
      <w:spacing w:after="0" w:line="240" w:lineRule="auto"/>
    </w:pPr>
    <w:rPr>
      <w:rFonts w:ascii="Liberation Serif" w:eastAsia="Liberation Serif" w:hAnsi="Liberation Serif" w:cs="Liberation Serif"/>
      <w:kern w:val="0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275B20"/>
    <w:rPr>
      <w:b/>
      <w:bCs/>
    </w:rPr>
  </w:style>
  <w:style w:type="character" w:customStyle="1" w:styleId="Hyperlink0">
    <w:name w:val="Hyperlink.0"/>
    <w:basedOn w:val="Hypertextovprepojenie"/>
    <w:rsid w:val="00275B20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character" w:styleId="Hypertextovprepojenie">
    <w:name w:val="Hyperlink"/>
    <w:basedOn w:val="Predvolenpsmoodseku"/>
    <w:uiPriority w:val="99"/>
    <w:unhideWhenUsed/>
    <w:rsid w:val="00275B2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275B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ChildG12INM&amp;sid=AF76E74BF3CFEA1C409F851A00&amp;seo=CREP%C4%8C-detail-%C4%8Cl%C3%A1nok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clinicalsocialwork.eu/wp-content/uploads/2020/01/12-mikloskova-1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1</cp:revision>
  <dcterms:created xsi:type="dcterms:W3CDTF">2024-02-06T14:19:00Z</dcterms:created>
  <dcterms:modified xsi:type="dcterms:W3CDTF">2024-02-06T15:02:00Z</dcterms:modified>
</cp:coreProperties>
</file>